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5D7384F">
      <w:pPr>
        <w:jc w:val="center"/>
        <w:rPr>
          <w:rFonts w:hint="default" w:ascii="Nimbus Roman No9 L" w:hAnsi="Nimbus Roman No9 L" w:eastAsia="方正小标宋_GBK" w:cs="Nimbus Roman No9 L"/>
          <w:sz w:val="36"/>
          <w:szCs w:val="36"/>
        </w:rPr>
      </w:pPr>
      <w:r>
        <w:rPr>
          <w:rFonts w:hint="default" w:ascii="Nimbus Roman No9 L" w:hAnsi="Nimbus Roman No9 L" w:eastAsia="方正小标宋_GBK" w:cs="Nimbus Roman No9 L"/>
          <w:sz w:val="36"/>
          <w:szCs w:val="36"/>
          <w:lang w:val="en"/>
        </w:rPr>
        <w:t>2025</w:t>
      </w:r>
      <w:r>
        <w:rPr>
          <w:rFonts w:hint="default" w:ascii="Nimbus Roman No9 L" w:hAnsi="Nimbus Roman No9 L" w:eastAsia="方正小标宋_GBK" w:cs="Nimbus Roman No9 L"/>
          <w:sz w:val="36"/>
          <w:szCs w:val="36"/>
        </w:rPr>
        <w:t>年度江西广播电视奖——优秀论文论著参评表</w:t>
      </w:r>
    </w:p>
    <w:p w14:paraId="39194B62">
      <w:pPr>
        <w:jc w:val="center"/>
        <w:rPr>
          <w:rFonts w:hint="default" w:ascii="Nimbus Roman No9 L" w:hAnsi="Nimbus Roman No9 L" w:eastAsia="仿宋_GB2312" w:cs="Nimbus Roman No9 L"/>
          <w:szCs w:val="32"/>
        </w:rPr>
      </w:pPr>
    </w:p>
    <w:tbl>
      <w:tblPr>
        <w:tblStyle w:val="8"/>
        <w:tblW w:w="97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68"/>
        <w:gridCol w:w="833"/>
        <w:gridCol w:w="601"/>
        <w:gridCol w:w="5174"/>
        <w:gridCol w:w="2269"/>
      </w:tblGrid>
      <w:tr w14:paraId="64CBF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jc w:val="center"/>
        </w:trPr>
        <w:tc>
          <w:tcPr>
            <w:tcW w:w="1701" w:type="dxa"/>
            <w:gridSpan w:val="2"/>
            <w:noWrap w:val="0"/>
            <w:vAlign w:val="center"/>
          </w:tcPr>
          <w:p w14:paraId="7420F9EC">
            <w:pPr>
              <w:spacing w:line="400" w:lineRule="exact"/>
              <w:rPr>
                <w:rFonts w:hint="default" w:ascii="Nimbus Roman No9 L" w:hAnsi="Nimbus Roman No9 L" w:eastAsia="仿宋_GB2312" w:cs="Nimbus Roman No9 L"/>
                <w:szCs w:val="32"/>
                <w:lang w:eastAsia="zh-CN"/>
              </w:rPr>
            </w:pPr>
            <w:r>
              <w:rPr>
                <w:rFonts w:hint="default" w:ascii="Nimbus Roman No9 L" w:hAnsi="Nimbus Roman No9 L" w:eastAsia="仿宋_GB2312" w:cs="Nimbus Roman No9 L"/>
                <w:szCs w:val="32"/>
              </w:rPr>
              <w:t>作品</w:t>
            </w:r>
            <w:r>
              <w:rPr>
                <w:rFonts w:hint="default" w:ascii="Nimbus Roman No9 L" w:hAnsi="Nimbus Roman No9 L" w:eastAsia="仿宋_GB2312" w:cs="Nimbus Roman No9 L"/>
                <w:szCs w:val="32"/>
                <w:lang w:eastAsia="zh-CN"/>
              </w:rPr>
              <w:t>标题</w:t>
            </w:r>
          </w:p>
        </w:tc>
        <w:tc>
          <w:tcPr>
            <w:tcW w:w="8044" w:type="dxa"/>
            <w:gridSpan w:val="3"/>
            <w:noWrap w:val="0"/>
            <w:vAlign w:val="center"/>
          </w:tcPr>
          <w:p w14:paraId="6AAA286F">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w:t>
            </w:r>
            <w:r>
              <w:rPr>
                <w:rFonts w:hint="eastAsia" w:ascii="Nimbus Roman No9 L" w:hAnsi="Nimbus Roman No9 L" w:eastAsia="仿宋_GB2312" w:cs="Nimbus Roman No9 L"/>
                <w:szCs w:val="32"/>
                <w:lang w:val="en-US" w:eastAsia="zh-CN"/>
              </w:rPr>
              <w:t>人工智能赋能新闻采编：</w:t>
            </w:r>
            <w:r>
              <w:rPr>
                <w:rFonts w:hint="default" w:ascii="Andalus" w:hAnsi="Andalus" w:eastAsia="仿宋_GB2312" w:cs="Andalus"/>
                <w:szCs w:val="32"/>
                <w:lang w:val="en-US" w:eastAsia="zh-CN"/>
              </w:rPr>
              <w:t>Deep Seek</w:t>
            </w:r>
            <w:r>
              <w:rPr>
                <w:rFonts w:hint="eastAsia" w:ascii="Nimbus Roman No9 L" w:hAnsi="Nimbus Roman No9 L" w:eastAsia="仿宋_GB2312" w:cs="Nimbus Roman No9 L"/>
                <w:szCs w:val="32"/>
                <w:lang w:val="en-US" w:eastAsia="zh-CN"/>
              </w:rPr>
              <w:t>技术的创新与挑战</w:t>
            </w:r>
            <w:r>
              <w:rPr>
                <w:rFonts w:hint="default" w:ascii="Nimbus Roman No9 L" w:hAnsi="Nimbus Roman No9 L" w:eastAsia="仿宋_GB2312" w:cs="Nimbus Roman No9 L"/>
                <w:szCs w:val="32"/>
                <w:lang w:val="en-US" w:eastAsia="zh-CN"/>
              </w:rPr>
              <w:t>》</w:t>
            </w:r>
          </w:p>
        </w:tc>
      </w:tr>
      <w:tr w14:paraId="7FFCC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1701" w:type="dxa"/>
            <w:gridSpan w:val="2"/>
            <w:noWrap w:val="0"/>
            <w:vAlign w:val="top"/>
          </w:tcPr>
          <w:p w14:paraId="6A9D22A6">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参评类别</w:t>
            </w:r>
          </w:p>
        </w:tc>
        <w:tc>
          <w:tcPr>
            <w:tcW w:w="8044" w:type="dxa"/>
            <w:gridSpan w:val="3"/>
            <w:noWrap w:val="0"/>
            <w:vAlign w:val="top"/>
          </w:tcPr>
          <w:p w14:paraId="3C58991E">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基础理论</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应用理论</w:t>
            </w:r>
            <w:r>
              <w:rPr>
                <w:rFonts w:hint="default" w:ascii="Nimbus Roman No9 L" w:hAnsi="Nimbus Roman No9 L" w:eastAsia="仿宋_GB2312" w:cs="Nimbus Roman No9 L"/>
                <w:szCs w:val="32"/>
              </w:rPr>
              <w:sym w:font="Wingdings" w:char="00FE"/>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史学</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决策和管理研究</w:t>
            </w:r>
            <w:r>
              <w:rPr>
                <w:rFonts w:hint="default" w:ascii="Nimbus Roman No9 L" w:hAnsi="Nimbus Roman No9 L" w:eastAsia="仿宋_GB2312" w:cs="Nimbus Roman No9 L"/>
                <w:szCs w:val="32"/>
              </w:rPr>
              <w:sym w:font="Wingdings" w:char="00A8"/>
            </w:r>
          </w:p>
        </w:tc>
      </w:tr>
      <w:tr w14:paraId="7D6D2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1701" w:type="dxa"/>
            <w:gridSpan w:val="2"/>
            <w:noWrap w:val="0"/>
            <w:vAlign w:val="top"/>
          </w:tcPr>
          <w:p w14:paraId="29044B24">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作品字数</w:t>
            </w:r>
          </w:p>
        </w:tc>
        <w:tc>
          <w:tcPr>
            <w:tcW w:w="8044" w:type="dxa"/>
            <w:gridSpan w:val="3"/>
            <w:noWrap w:val="0"/>
            <w:vAlign w:val="top"/>
          </w:tcPr>
          <w:p w14:paraId="4CFE13EC">
            <w:pPr>
              <w:spacing w:line="400" w:lineRule="exact"/>
              <w:rPr>
                <w:rFonts w:hint="default" w:ascii="Nimbus Roman No9 L" w:hAnsi="Nimbus Roman No9 L" w:eastAsia="仿宋_GB2312" w:cs="Nimbus Roman No9 L"/>
                <w:szCs w:val="32"/>
                <w:lang w:val="en-US" w:eastAsia="zh-CN"/>
              </w:rPr>
            </w:pPr>
            <w:r>
              <w:rPr>
                <w:rFonts w:hint="eastAsia" w:ascii="Andalus" w:hAnsi="Andalus" w:eastAsia="仿宋_GB2312" w:cs="Andalus"/>
                <w:szCs w:val="32"/>
                <w:lang w:val="en-US" w:eastAsia="zh-CN"/>
              </w:rPr>
              <w:t>4558</w:t>
            </w:r>
          </w:p>
        </w:tc>
      </w:tr>
      <w:tr w14:paraId="6ABC1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868" w:type="dxa"/>
            <w:vMerge w:val="restart"/>
            <w:noWrap w:val="0"/>
            <w:vAlign w:val="center"/>
          </w:tcPr>
          <w:p w14:paraId="383014BA">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作者</w:t>
            </w:r>
          </w:p>
        </w:tc>
        <w:tc>
          <w:tcPr>
            <w:tcW w:w="1434" w:type="dxa"/>
            <w:gridSpan w:val="2"/>
            <w:noWrap w:val="0"/>
            <w:vAlign w:val="center"/>
          </w:tcPr>
          <w:p w14:paraId="181CDA51">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姓　名</w:t>
            </w:r>
          </w:p>
        </w:tc>
        <w:tc>
          <w:tcPr>
            <w:tcW w:w="5174" w:type="dxa"/>
            <w:noWrap w:val="0"/>
            <w:vAlign w:val="center"/>
          </w:tcPr>
          <w:p w14:paraId="0BB09540">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w:t>
            </w:r>
          </w:p>
        </w:tc>
        <w:tc>
          <w:tcPr>
            <w:tcW w:w="2269" w:type="dxa"/>
            <w:noWrap w:val="0"/>
            <w:vAlign w:val="center"/>
          </w:tcPr>
          <w:p w14:paraId="71D4D4DF">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联系电话</w:t>
            </w:r>
          </w:p>
        </w:tc>
      </w:tr>
      <w:tr w14:paraId="5C2B2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868" w:type="dxa"/>
            <w:vMerge w:val="continue"/>
            <w:noWrap w:val="0"/>
            <w:vAlign w:val="top"/>
          </w:tcPr>
          <w:p w14:paraId="63F48776">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55F105CC">
            <w:pPr>
              <w:spacing w:line="400" w:lineRule="exact"/>
              <w:jc w:val="center"/>
              <w:rPr>
                <w:rFonts w:hint="eastAsia" w:ascii="Nimbus Roman No9 L" w:hAnsi="Nimbus Roman No9 L" w:eastAsia="仿宋_GB2312" w:cs="Nimbus Roman No9 L"/>
                <w:szCs w:val="32"/>
                <w:lang w:val="en-US" w:eastAsia="zh-CN"/>
              </w:rPr>
            </w:pPr>
            <w:r>
              <w:rPr>
                <w:rFonts w:hint="eastAsia" w:ascii="Nimbus Roman No9 L" w:hAnsi="Nimbus Roman No9 L" w:eastAsia="仿宋_GB2312" w:cs="Nimbus Roman No9 L"/>
                <w:szCs w:val="32"/>
                <w:lang w:val="en-US" w:eastAsia="zh-CN"/>
              </w:rPr>
              <w:t>罗志伟</w:t>
            </w:r>
          </w:p>
        </w:tc>
        <w:tc>
          <w:tcPr>
            <w:tcW w:w="5174" w:type="dxa"/>
            <w:noWrap w:val="0"/>
            <w:vAlign w:val="center"/>
          </w:tcPr>
          <w:p w14:paraId="563E2199">
            <w:pPr>
              <w:spacing w:line="400" w:lineRule="exact"/>
              <w:jc w:val="center"/>
              <w:rPr>
                <w:rFonts w:hint="default" w:ascii="Nimbus Roman No9 L" w:hAnsi="Nimbus Roman No9 L" w:eastAsia="仿宋_GB2312" w:cs="Nimbus Roman No9 L"/>
                <w:szCs w:val="32"/>
                <w:lang w:val="en-US" w:eastAsia="zh-CN"/>
              </w:rPr>
            </w:pPr>
            <w:r>
              <w:rPr>
                <w:rFonts w:hint="eastAsia" w:ascii="Nimbus Roman No9 L" w:hAnsi="Nimbus Roman No9 L" w:eastAsia="仿宋_GB2312" w:cs="Nimbus Roman No9 L"/>
                <w:szCs w:val="32"/>
                <w:lang w:val="en-US" w:eastAsia="zh-CN"/>
              </w:rPr>
              <w:t>南昌市广播电视台</w:t>
            </w:r>
          </w:p>
        </w:tc>
        <w:tc>
          <w:tcPr>
            <w:tcW w:w="2269" w:type="dxa"/>
            <w:noWrap w:val="0"/>
            <w:vAlign w:val="center"/>
          </w:tcPr>
          <w:p w14:paraId="7EF8AD38">
            <w:pPr>
              <w:spacing w:line="400" w:lineRule="exact"/>
              <w:jc w:val="center"/>
              <w:rPr>
                <w:rFonts w:hint="default" w:ascii="Nimbus Roman No9 L" w:hAnsi="Nimbus Roman No9 L" w:eastAsia="仿宋_GB2312" w:cs="Nimbus Roman No9 L"/>
                <w:szCs w:val="32"/>
                <w:lang w:val="en-US" w:eastAsia="zh-CN"/>
              </w:rPr>
            </w:pPr>
            <w:r>
              <w:rPr>
                <w:rFonts w:hint="eastAsia" w:ascii="Andalus" w:hAnsi="Andalus" w:eastAsia="仿宋_GB2312" w:cs="Andalus"/>
                <w:szCs w:val="32"/>
                <w:lang w:val="en-US" w:eastAsia="zh-CN"/>
              </w:rPr>
              <w:t>1</w:t>
            </w:r>
            <w:r>
              <w:rPr>
                <w:rFonts w:hint="eastAsia" w:ascii="Andalus" w:hAnsi="Andalus" w:eastAsia="仿宋_GB2312" w:cs="Andalus"/>
                <w:szCs w:val="32"/>
                <w:lang w:val="en-US" w:eastAsia="zh-CN"/>
              </w:rPr>
              <w:t>3979191032</w:t>
            </w:r>
          </w:p>
        </w:tc>
      </w:tr>
      <w:tr w14:paraId="43C85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868" w:type="dxa"/>
            <w:vMerge w:val="continue"/>
            <w:noWrap w:val="0"/>
            <w:vAlign w:val="top"/>
          </w:tcPr>
          <w:p w14:paraId="48B2FA5A">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7E926AEB">
            <w:pPr>
              <w:spacing w:line="400" w:lineRule="exact"/>
              <w:jc w:val="center"/>
              <w:rPr>
                <w:rFonts w:hint="default" w:ascii="Nimbus Roman No9 L" w:hAnsi="Nimbus Roman No9 L" w:eastAsia="仿宋_GB2312" w:cs="Nimbus Roman No9 L"/>
                <w:szCs w:val="32"/>
              </w:rPr>
            </w:pPr>
          </w:p>
        </w:tc>
        <w:tc>
          <w:tcPr>
            <w:tcW w:w="5174" w:type="dxa"/>
            <w:noWrap w:val="0"/>
            <w:vAlign w:val="center"/>
          </w:tcPr>
          <w:p w14:paraId="09326D9E">
            <w:pPr>
              <w:spacing w:line="400" w:lineRule="exact"/>
              <w:jc w:val="center"/>
              <w:rPr>
                <w:rFonts w:hint="default" w:ascii="Nimbus Roman No9 L" w:hAnsi="Nimbus Roman No9 L" w:eastAsia="仿宋_GB2312" w:cs="Nimbus Roman No9 L"/>
                <w:szCs w:val="32"/>
              </w:rPr>
            </w:pPr>
          </w:p>
        </w:tc>
        <w:tc>
          <w:tcPr>
            <w:tcW w:w="2269" w:type="dxa"/>
            <w:noWrap w:val="0"/>
            <w:vAlign w:val="center"/>
          </w:tcPr>
          <w:p w14:paraId="4A41C03D">
            <w:pPr>
              <w:spacing w:line="400" w:lineRule="exact"/>
              <w:jc w:val="center"/>
              <w:rPr>
                <w:rFonts w:hint="default" w:ascii="Nimbus Roman No9 L" w:hAnsi="Nimbus Roman No9 L" w:eastAsia="仿宋_GB2312" w:cs="Nimbus Roman No9 L"/>
                <w:szCs w:val="32"/>
              </w:rPr>
            </w:pPr>
          </w:p>
        </w:tc>
      </w:tr>
      <w:tr w14:paraId="382C1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868" w:type="dxa"/>
            <w:vMerge w:val="continue"/>
            <w:noWrap w:val="0"/>
            <w:vAlign w:val="top"/>
          </w:tcPr>
          <w:p w14:paraId="1BC77E47">
            <w:pPr>
              <w:spacing w:line="400" w:lineRule="exact"/>
              <w:rPr>
                <w:rFonts w:hint="default" w:ascii="Nimbus Roman No9 L" w:hAnsi="Nimbus Roman No9 L" w:eastAsia="仿宋_GB2312" w:cs="Nimbus Roman No9 L"/>
                <w:szCs w:val="32"/>
              </w:rPr>
            </w:pPr>
          </w:p>
        </w:tc>
        <w:tc>
          <w:tcPr>
            <w:tcW w:w="1434" w:type="dxa"/>
            <w:gridSpan w:val="2"/>
            <w:noWrap w:val="0"/>
            <w:vAlign w:val="center"/>
          </w:tcPr>
          <w:p w14:paraId="1AA34C2D">
            <w:pPr>
              <w:spacing w:line="400" w:lineRule="exact"/>
              <w:jc w:val="center"/>
              <w:rPr>
                <w:rFonts w:hint="default" w:ascii="Nimbus Roman No9 L" w:hAnsi="Nimbus Roman No9 L" w:eastAsia="仿宋_GB2312" w:cs="Nimbus Roman No9 L"/>
                <w:szCs w:val="32"/>
              </w:rPr>
            </w:pPr>
          </w:p>
        </w:tc>
        <w:tc>
          <w:tcPr>
            <w:tcW w:w="5174" w:type="dxa"/>
            <w:noWrap w:val="0"/>
            <w:vAlign w:val="center"/>
          </w:tcPr>
          <w:p w14:paraId="07BF3D63">
            <w:pPr>
              <w:spacing w:line="400" w:lineRule="exact"/>
              <w:jc w:val="center"/>
              <w:rPr>
                <w:rFonts w:hint="default" w:ascii="Nimbus Roman No9 L" w:hAnsi="Nimbus Roman No9 L" w:eastAsia="仿宋_GB2312" w:cs="Nimbus Roman No9 L"/>
                <w:szCs w:val="32"/>
              </w:rPr>
            </w:pPr>
          </w:p>
        </w:tc>
        <w:tc>
          <w:tcPr>
            <w:tcW w:w="2269" w:type="dxa"/>
            <w:noWrap w:val="0"/>
            <w:vAlign w:val="center"/>
          </w:tcPr>
          <w:p w14:paraId="27E1F994">
            <w:pPr>
              <w:spacing w:line="400" w:lineRule="exact"/>
              <w:jc w:val="center"/>
              <w:rPr>
                <w:rFonts w:hint="default" w:ascii="Nimbus Roman No9 L" w:hAnsi="Nimbus Roman No9 L" w:eastAsia="仿宋_GB2312" w:cs="Nimbus Roman No9 L"/>
                <w:szCs w:val="32"/>
              </w:rPr>
            </w:pPr>
          </w:p>
        </w:tc>
      </w:tr>
      <w:tr w14:paraId="272A87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0" w:hRule="atLeast"/>
          <w:jc w:val="center"/>
        </w:trPr>
        <w:tc>
          <w:tcPr>
            <w:tcW w:w="868" w:type="dxa"/>
            <w:noWrap w:val="0"/>
            <w:vAlign w:val="top"/>
          </w:tcPr>
          <w:p w14:paraId="3FBFCCA2">
            <w:pPr>
              <w:spacing w:line="400" w:lineRule="exact"/>
              <w:jc w:val="center"/>
              <w:rPr>
                <w:rFonts w:hint="default" w:ascii="Nimbus Roman No9 L" w:hAnsi="Nimbus Roman No9 L" w:eastAsia="仿宋_GB2312" w:cs="Nimbus Roman No9 L"/>
                <w:szCs w:val="32"/>
              </w:rPr>
            </w:pPr>
          </w:p>
          <w:p w14:paraId="11588F64">
            <w:pPr>
              <w:spacing w:line="400" w:lineRule="exact"/>
              <w:jc w:val="center"/>
              <w:rPr>
                <w:rFonts w:hint="default" w:ascii="Nimbus Roman No9 L" w:hAnsi="Nimbus Roman No9 L" w:eastAsia="仿宋_GB2312" w:cs="Nimbus Roman No9 L"/>
                <w:szCs w:val="32"/>
              </w:rPr>
            </w:pPr>
          </w:p>
          <w:p w14:paraId="32F491B7">
            <w:pPr>
              <w:spacing w:line="400" w:lineRule="exact"/>
              <w:jc w:val="center"/>
              <w:rPr>
                <w:rFonts w:hint="default" w:ascii="Nimbus Roman No9 L" w:hAnsi="Nimbus Roman No9 L" w:eastAsia="仿宋_GB2312" w:cs="Nimbus Roman No9 L"/>
                <w:szCs w:val="32"/>
              </w:rPr>
            </w:pPr>
          </w:p>
          <w:p w14:paraId="13C4B42D">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内容简介</w:t>
            </w:r>
          </w:p>
        </w:tc>
        <w:tc>
          <w:tcPr>
            <w:tcW w:w="8877" w:type="dxa"/>
            <w:gridSpan w:val="4"/>
            <w:noWrap w:val="0"/>
            <w:vAlign w:val="top"/>
          </w:tcPr>
          <w:p w14:paraId="0CD81B31">
            <w:pPr>
              <w:spacing w:line="400" w:lineRule="exact"/>
              <w:ind w:firstLine="640" w:firstLineChars="200"/>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这篇论文聚焦</w:t>
            </w:r>
            <w:r>
              <w:rPr>
                <w:rFonts w:hint="default" w:ascii="Andalus" w:hAnsi="Andalus" w:eastAsia="仿宋_GB2312" w:cs="Andalus"/>
                <w:szCs w:val="32"/>
                <w:lang w:val="en-US" w:eastAsia="zh-CN"/>
              </w:rPr>
              <w:t>Deep Seek</w:t>
            </w:r>
            <w:r>
              <w:rPr>
                <w:rFonts w:hint="default" w:ascii="Nimbus Roman No9 L" w:hAnsi="Nimbus Roman No9 L" w:eastAsia="仿宋_GB2312" w:cs="Nimbus Roman No9 L"/>
                <w:szCs w:val="32"/>
              </w:rPr>
              <w:t>技术在新闻采编领域的赋能价值，系统阐述了其应用逻辑与行业影响。文章首先介绍了人工智能重构新闻生产模式的行业背景，随后详解了</w:t>
            </w:r>
            <w:r>
              <w:rPr>
                <w:rFonts w:hint="default" w:ascii="Andalus" w:hAnsi="Andalus" w:eastAsia="仿宋_GB2312" w:cs="Andalus"/>
                <w:szCs w:val="32"/>
                <w:lang w:val="en-US" w:eastAsia="zh-CN"/>
              </w:rPr>
              <w:t>Deep Seek</w:t>
            </w:r>
            <w:r>
              <w:rPr>
                <w:rFonts w:hint="default" w:ascii="Nimbus Roman No9 L" w:hAnsi="Nimbus Roman No9 L" w:eastAsia="仿宋_GB2312" w:cs="Nimbus Roman No9 L"/>
                <w:szCs w:val="32"/>
              </w:rPr>
              <w:t>技术的多模态训练模型原理与</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rPr>
              <w:t>数据采集</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rPr>
              <w:t>模型分析</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rPr>
              <w:t>反馈优化</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rPr>
              <w:t>全流程。</w:t>
            </w:r>
          </w:p>
          <w:p w14:paraId="5CE4DE43">
            <w:pPr>
              <w:spacing w:line="400" w:lineRule="exact"/>
              <w:ind w:firstLine="640" w:firstLineChars="200"/>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论文重点分析了该技术的三大创新：在技术层面实现跨模态深度理解与零样本迁移，在应用层面提升新闻生产的智能化与适配性，在行业层面推动媒体融合与流程变革。同时，也直面其在技术融合、伦理风险、行业适配等方面的挑战，并结合突发灾害报道案例，展现了其在实战中的高效赋能。最后，论文指出未来技术将向场景适配、效率优化与伦理嵌入方向迭代，为新闻行业智能化转型提供了清晰的技术路径与实践参考。</w:t>
            </w:r>
          </w:p>
        </w:tc>
      </w:tr>
      <w:tr w14:paraId="4CA2D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5" w:hRule="atLeast"/>
          <w:jc w:val="center"/>
        </w:trPr>
        <w:tc>
          <w:tcPr>
            <w:tcW w:w="868" w:type="dxa"/>
            <w:noWrap w:val="0"/>
            <w:vAlign w:val="top"/>
          </w:tcPr>
          <w:p w14:paraId="1455FE64">
            <w:pPr>
              <w:spacing w:line="400" w:lineRule="exact"/>
              <w:jc w:val="center"/>
              <w:rPr>
                <w:rFonts w:hint="default" w:ascii="Nimbus Roman No9 L" w:hAnsi="Nimbus Roman No9 L" w:eastAsia="仿宋_GB2312" w:cs="Nimbus Roman No9 L"/>
                <w:szCs w:val="32"/>
              </w:rPr>
            </w:pPr>
          </w:p>
          <w:p w14:paraId="4A1C93D8">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送评单位意见</w:t>
            </w:r>
          </w:p>
        </w:tc>
        <w:tc>
          <w:tcPr>
            <w:tcW w:w="8877" w:type="dxa"/>
            <w:gridSpan w:val="4"/>
            <w:noWrap w:val="0"/>
            <w:vAlign w:val="top"/>
          </w:tcPr>
          <w:p w14:paraId="17E9543A">
            <w:pPr>
              <w:spacing w:line="400" w:lineRule="exact"/>
              <w:rPr>
                <w:rFonts w:hint="default" w:ascii="Nimbus Roman No9 L" w:hAnsi="Nimbus Roman No9 L" w:eastAsia="仿宋_GB2312" w:cs="Nimbus Roman No9 L"/>
                <w:szCs w:val="32"/>
              </w:rPr>
            </w:pPr>
          </w:p>
          <w:p w14:paraId="44410EEE">
            <w:pPr>
              <w:spacing w:line="400" w:lineRule="exact"/>
              <w:rPr>
                <w:rFonts w:hint="default" w:ascii="Nimbus Roman No9 L" w:hAnsi="Nimbus Roman No9 L" w:eastAsia="仿宋_GB2312" w:cs="Nimbus Roman No9 L"/>
                <w:szCs w:val="32"/>
              </w:rPr>
            </w:pPr>
          </w:p>
          <w:p w14:paraId="15F70DD9">
            <w:pPr>
              <w:spacing w:line="400" w:lineRule="exact"/>
              <w:rPr>
                <w:rFonts w:hint="default" w:ascii="Nimbus Roman No9 L" w:hAnsi="Nimbus Roman No9 L" w:eastAsia="仿宋_GB2312" w:cs="Nimbus Roman No9 L"/>
                <w:szCs w:val="32"/>
              </w:rPr>
            </w:pPr>
          </w:p>
          <w:p w14:paraId="00F455E8">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单位负责人签名：　　        单位盖章：</w:t>
            </w:r>
          </w:p>
          <w:p w14:paraId="64CE1AC9">
            <w:pPr>
              <w:spacing w:line="400" w:lineRule="exact"/>
              <w:ind w:firstLine="6284" w:firstLineChars="1964"/>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年　　月　　日</w:t>
            </w:r>
          </w:p>
        </w:tc>
      </w:tr>
    </w:tbl>
    <w:p w14:paraId="373C16E7">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p>
    <w:p w14:paraId="564D9D90">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r>
        <w:rPr>
          <w:rFonts w:hint="eastAsia" w:ascii="仿宋" w:hAnsi="仿宋" w:eastAsia="仿宋" w:cs="仿宋"/>
          <w:b w:val="0"/>
          <w:bCs w:val="0"/>
          <w:sz w:val="28"/>
          <w:szCs w:val="28"/>
          <w:lang w:eastAsia="zh-CN"/>
        </w:rPr>
        <w:t>刊发证明材料</w:t>
      </w:r>
    </w:p>
    <w:p w14:paraId="1425CAEE">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r>
        <w:rPr>
          <w:rFonts w:hint="eastAsia" w:ascii="仿宋" w:hAnsi="仿宋" w:eastAsia="仿宋" w:cs="仿宋"/>
          <w:sz w:val="28"/>
          <w:szCs w:val="28"/>
          <w:lang w:eastAsia="zh-CN"/>
        </w:rPr>
        <w:drawing>
          <wp:inline distT="0" distB="0" distL="114300" distR="114300">
            <wp:extent cx="5608320" cy="6400800"/>
            <wp:effectExtent l="0" t="0" r="11430" b="0"/>
            <wp:docPr id="13" name="图片 13" descr="fde585cd49b56763c97a1e2106b7a2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fde585cd49b56763c97a1e2106b7a2a1"/>
                    <pic:cNvPicPr>
                      <a:picLocks noChangeAspect="1"/>
                    </pic:cNvPicPr>
                  </pic:nvPicPr>
                  <pic:blipFill>
                    <a:blip r:embed="rId5"/>
                    <a:stretch>
                      <a:fillRect/>
                    </a:stretch>
                  </pic:blipFill>
                  <pic:spPr>
                    <a:xfrm>
                      <a:off x="0" y="0"/>
                      <a:ext cx="5608320" cy="6400800"/>
                    </a:xfrm>
                    <a:prstGeom prst="rect">
                      <a:avLst/>
                    </a:prstGeom>
                  </pic:spPr>
                </pic:pic>
              </a:graphicData>
            </a:graphic>
          </wp:inline>
        </w:drawing>
      </w:r>
    </w:p>
    <w:p w14:paraId="3D805564">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sz w:val="28"/>
          <w:szCs w:val="28"/>
          <w:lang w:eastAsia="zh-CN"/>
        </w:rPr>
      </w:pPr>
    </w:p>
    <w:p w14:paraId="4184F046">
      <w:pPr>
        <w:rPr>
          <w:rFonts w:hint="eastAsia" w:ascii="Nimbus Roman No9 L" w:hAnsi="Nimbus Roman No9 L" w:eastAsia="仿宋_GB2312" w:cs="Nimbus Roman No9 L"/>
          <w:szCs w:val="32"/>
          <w:lang w:eastAsia="zh-CN"/>
        </w:rPr>
      </w:pPr>
    </w:p>
    <w:p w14:paraId="11E9EEE2">
      <w:pPr>
        <w:rPr>
          <w:rFonts w:hint="eastAsia" w:ascii="Nimbus Roman No9 L" w:hAnsi="Nimbus Roman No9 L" w:eastAsia="仿宋_GB2312" w:cs="Nimbus Roman No9 L"/>
          <w:szCs w:val="32"/>
          <w:lang w:eastAsia="zh-CN"/>
        </w:rPr>
      </w:pPr>
      <w:r>
        <w:rPr>
          <w:rFonts w:hint="eastAsia" w:ascii="Nimbus Roman No9 L" w:hAnsi="Nimbus Roman No9 L" w:eastAsia="仿宋_GB2312" w:cs="Nimbus Roman No9 L"/>
          <w:szCs w:val="32"/>
          <w:lang w:eastAsia="zh-CN"/>
        </w:rPr>
        <w:drawing>
          <wp:inline distT="0" distB="0" distL="114300" distR="114300">
            <wp:extent cx="5608320" cy="7479030"/>
            <wp:effectExtent l="0" t="0" r="11430" b="7620"/>
            <wp:docPr id="15" name="图片 15" descr="088da01a29f4f9c1a4107dd4bd9de5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088da01a29f4f9c1a4107dd4bd9de5e9"/>
                    <pic:cNvPicPr>
                      <a:picLocks noChangeAspect="1"/>
                    </pic:cNvPicPr>
                  </pic:nvPicPr>
                  <pic:blipFill>
                    <a:blip r:embed="rId6"/>
                    <a:stretch>
                      <a:fillRect/>
                    </a:stretch>
                  </pic:blipFill>
                  <pic:spPr>
                    <a:xfrm>
                      <a:off x="0" y="0"/>
                      <a:ext cx="5608320" cy="7479030"/>
                    </a:xfrm>
                    <a:prstGeom prst="rect">
                      <a:avLst/>
                    </a:prstGeom>
                  </pic:spPr>
                </pic:pic>
              </a:graphicData>
            </a:graphic>
          </wp:inline>
        </w:drawing>
      </w:r>
    </w:p>
    <w:p w14:paraId="32EF71B1">
      <w:pPr>
        <w:rPr>
          <w:rFonts w:hint="eastAsia" w:ascii="Nimbus Roman No9 L" w:hAnsi="Nimbus Roman No9 L" w:eastAsia="仿宋_GB2312" w:cs="Nimbus Roman No9 L"/>
          <w:szCs w:val="32"/>
          <w:lang w:eastAsia="zh-CN"/>
        </w:rPr>
      </w:pPr>
      <w:r>
        <w:rPr>
          <w:rFonts w:hint="eastAsia" w:ascii="Nimbus Roman No9 L" w:hAnsi="Nimbus Roman No9 L" w:eastAsia="仿宋_GB2312" w:cs="Nimbus Roman No9 L"/>
          <w:szCs w:val="32"/>
          <w:lang w:eastAsia="zh-CN"/>
        </w:rPr>
        <w:drawing>
          <wp:inline distT="0" distB="0" distL="114300" distR="114300">
            <wp:extent cx="5608320" cy="7479030"/>
            <wp:effectExtent l="0" t="0" r="11430" b="7620"/>
            <wp:docPr id="16" name="图片 16" descr="dab38de6a86ae9db36397fb8f62ab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dab38de6a86ae9db36397fb8f62ab480"/>
                    <pic:cNvPicPr>
                      <a:picLocks noChangeAspect="1"/>
                    </pic:cNvPicPr>
                  </pic:nvPicPr>
                  <pic:blipFill>
                    <a:blip r:embed="rId7"/>
                    <a:stretch>
                      <a:fillRect/>
                    </a:stretch>
                  </pic:blipFill>
                  <pic:spPr>
                    <a:xfrm>
                      <a:off x="0" y="0"/>
                      <a:ext cx="5608320" cy="7479030"/>
                    </a:xfrm>
                    <a:prstGeom prst="rect">
                      <a:avLst/>
                    </a:prstGeom>
                  </pic:spPr>
                </pic:pic>
              </a:graphicData>
            </a:graphic>
          </wp:inline>
        </w:drawing>
      </w:r>
    </w:p>
    <w:p w14:paraId="2C07D324">
      <w:pPr>
        <w:rPr>
          <w:rFonts w:hint="eastAsia" w:ascii="Nimbus Roman No9 L" w:hAnsi="Nimbus Roman No9 L" w:eastAsia="仿宋_GB2312" w:cs="Nimbus Roman No9 L"/>
          <w:szCs w:val="32"/>
          <w:lang w:eastAsia="zh-CN"/>
        </w:rPr>
      </w:pPr>
    </w:p>
    <w:p w14:paraId="4D62929E">
      <w:pPr>
        <w:rPr>
          <w:rFonts w:hint="eastAsia" w:ascii="Nimbus Roman No9 L" w:hAnsi="Nimbus Roman No9 L" w:eastAsia="仿宋_GB2312" w:cs="Nimbus Roman No9 L"/>
          <w:szCs w:val="32"/>
          <w:lang w:eastAsia="zh-CN"/>
        </w:rPr>
      </w:pPr>
      <w:r>
        <w:rPr>
          <w:rFonts w:hint="eastAsia" w:ascii="Nimbus Roman No9 L" w:hAnsi="Nimbus Roman No9 L" w:eastAsia="仿宋_GB2312" w:cs="Nimbus Roman No9 L"/>
          <w:szCs w:val="32"/>
          <w:lang w:eastAsia="zh-CN"/>
        </w:rPr>
        <w:drawing>
          <wp:inline distT="0" distB="0" distL="114300" distR="114300">
            <wp:extent cx="5608320" cy="7479030"/>
            <wp:effectExtent l="0" t="0" r="11430" b="7620"/>
            <wp:docPr id="17" name="图片 17" descr="a2bf60040f6c5d84a43da691a36d6e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a2bf60040f6c5d84a43da691a36d6ef7"/>
                    <pic:cNvPicPr>
                      <a:picLocks noChangeAspect="1"/>
                    </pic:cNvPicPr>
                  </pic:nvPicPr>
                  <pic:blipFill>
                    <a:blip r:embed="rId8"/>
                    <a:stretch>
                      <a:fillRect/>
                    </a:stretch>
                  </pic:blipFill>
                  <pic:spPr>
                    <a:xfrm>
                      <a:off x="0" y="0"/>
                      <a:ext cx="5608320" cy="7479030"/>
                    </a:xfrm>
                    <a:prstGeom prst="rect">
                      <a:avLst/>
                    </a:prstGeom>
                  </pic:spPr>
                </pic:pic>
              </a:graphicData>
            </a:graphic>
          </wp:inline>
        </w:drawing>
      </w:r>
      <w:r>
        <w:rPr>
          <w:rFonts w:hint="eastAsia" w:ascii="Nimbus Roman No9 L" w:hAnsi="Nimbus Roman No9 L" w:eastAsia="仿宋_GB2312" w:cs="Nimbus Roman No9 L"/>
          <w:szCs w:val="32"/>
          <w:lang w:eastAsia="zh-CN"/>
        </w:rPr>
        <w:drawing>
          <wp:inline distT="0" distB="0" distL="114300" distR="114300">
            <wp:extent cx="5608320" cy="7479030"/>
            <wp:effectExtent l="0" t="0" r="11430" b="7620"/>
            <wp:docPr id="18" name="图片 18" descr="9234d56d0a23b4abb561124f7dc293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9234d56d0a23b4abb561124f7dc2938c"/>
                    <pic:cNvPicPr>
                      <a:picLocks noChangeAspect="1"/>
                    </pic:cNvPicPr>
                  </pic:nvPicPr>
                  <pic:blipFill>
                    <a:blip r:embed="rId9"/>
                    <a:stretch>
                      <a:fillRect/>
                    </a:stretch>
                  </pic:blipFill>
                  <pic:spPr>
                    <a:xfrm>
                      <a:off x="0" y="0"/>
                      <a:ext cx="5608320" cy="7479030"/>
                    </a:xfrm>
                    <a:prstGeom prst="rect">
                      <a:avLst/>
                    </a:prstGeom>
                  </pic:spPr>
                </pic:pic>
              </a:graphicData>
            </a:graphic>
          </wp:inline>
        </w:drawing>
      </w:r>
    </w:p>
    <w:p w14:paraId="3A39E313">
      <w:pPr>
        <w:rPr>
          <w:rFonts w:hint="eastAsia" w:ascii="Nimbus Roman No9 L" w:hAnsi="Nimbus Roman No9 L" w:eastAsia="仿宋_GB2312" w:cs="Nimbus Roman No9 L"/>
          <w:szCs w:val="32"/>
          <w:lang w:eastAsia="zh-CN"/>
        </w:rPr>
      </w:pPr>
    </w:p>
    <w:p w14:paraId="5F979746">
      <w:pPr>
        <w:rPr>
          <w:rFonts w:hint="eastAsia" w:ascii="仿宋" w:hAnsi="仿宋" w:eastAsia="仿宋" w:cs="仿宋"/>
          <w:sz w:val="28"/>
          <w:szCs w:val="28"/>
          <w:lang w:eastAsia="zh-CN"/>
        </w:rPr>
      </w:pPr>
      <w:bookmarkStart w:id="0" w:name="_GoBack"/>
      <w:bookmarkEnd w:id="0"/>
      <w:r>
        <w:rPr>
          <w:rFonts w:hint="eastAsia" w:ascii="仿宋" w:hAnsi="仿宋" w:eastAsia="仿宋" w:cs="仿宋"/>
          <w:sz w:val="28"/>
          <w:szCs w:val="28"/>
          <w:lang w:eastAsia="zh-CN"/>
        </w:rPr>
        <w:t>参评项目：</w:t>
      </w:r>
      <w:r>
        <w:rPr>
          <w:rFonts w:hint="eastAsia" w:ascii="仿宋" w:hAnsi="仿宋" w:eastAsia="仿宋" w:cs="仿宋"/>
          <w:sz w:val="28"/>
          <w:szCs w:val="28"/>
        </w:rPr>
        <w:t>优秀论文论著</w:t>
      </w:r>
    </w:p>
    <w:p w14:paraId="1C94E2AA">
      <w:pPr>
        <w:pageBreakBefore w:val="0"/>
        <w:widowControl/>
        <w:kinsoku/>
        <w:wordWrap/>
        <w:overflowPunct/>
        <w:topLinePunct w:val="0"/>
        <w:autoSpaceDE/>
        <w:autoSpaceDN/>
        <w:bidi w:val="0"/>
        <w:adjustRightInd/>
        <w:snapToGrid/>
        <w:spacing w:line="560" w:lineRule="exact"/>
        <w:ind w:firstLine="2240" w:firstLineChars="700"/>
        <w:textAlignment w:val="auto"/>
        <w:rPr>
          <w:rFonts w:ascii="Calibri" w:hAnsi="Calibri" w:eastAsia="仿宋" w:cs="Times New Roman"/>
          <w:szCs w:val="24"/>
        </w:rPr>
      </w:pPr>
    </w:p>
    <w:p w14:paraId="423804CB">
      <w:pPr>
        <w:keepNext w:val="0"/>
        <w:keepLines w:val="0"/>
        <w:pageBreakBefore w:val="0"/>
        <w:widowControl w:val="0"/>
        <w:kinsoku/>
        <w:wordWrap/>
        <w:overflowPunct/>
        <w:topLinePunct w:val="0"/>
        <w:autoSpaceDE/>
        <w:autoSpaceDN/>
        <w:bidi w:val="0"/>
        <w:adjustRightInd/>
        <w:snapToGrid/>
        <w:spacing w:line="360" w:lineRule="auto"/>
        <w:ind w:firstLine="643" w:firstLineChars="200"/>
        <w:jc w:val="center"/>
        <w:textAlignment w:val="auto"/>
        <w:rPr>
          <w:rFonts w:hint="eastAsia" w:ascii="黑体" w:hAnsi="黑体" w:eastAsia="黑体" w:cs="黑体"/>
          <w:b/>
          <w:bCs/>
          <w:sz w:val="32"/>
          <w:szCs w:val="32"/>
        </w:rPr>
      </w:pPr>
      <w:r>
        <w:rPr>
          <w:rFonts w:hint="eastAsia" w:ascii="黑体" w:hAnsi="黑体" w:eastAsia="黑体" w:cs="黑体"/>
          <w:b/>
          <w:bCs/>
          <w:sz w:val="32"/>
          <w:szCs w:val="32"/>
        </w:rPr>
        <w:t>人工智能赋能新闻采编：Deep Seek技术的创新与挑战</w:t>
      </w:r>
    </w:p>
    <w:p w14:paraId="6C8114AB">
      <w:pPr>
        <w:keepNext w:val="0"/>
        <w:keepLines w:val="0"/>
        <w:pageBreakBefore w:val="0"/>
        <w:widowControl/>
        <w:kinsoku/>
        <w:wordWrap/>
        <w:overflowPunct/>
        <w:topLinePunct w:val="0"/>
        <w:autoSpaceDE/>
        <w:autoSpaceDN/>
        <w:bidi w:val="0"/>
        <w:adjustRightInd/>
        <w:snapToGrid/>
        <w:spacing w:line="560" w:lineRule="exact"/>
        <w:ind w:firstLine="3520" w:firstLineChars="1100"/>
        <w:jc w:val="both"/>
        <w:textAlignment w:val="auto"/>
        <w:rPr>
          <w:rFonts w:hint="default" w:ascii="仿宋" w:hAnsi="仿宋" w:eastAsia="仿宋" w:cs="CESI仿宋-GB2312"/>
          <w:szCs w:val="28"/>
          <w:lang w:val="en-US" w:eastAsia="zh-CN"/>
        </w:rPr>
      </w:pPr>
      <w:r>
        <w:rPr>
          <w:rFonts w:hint="eastAsia" w:ascii="仿宋" w:hAnsi="仿宋" w:eastAsia="仿宋" w:cs="CESI仿宋-GB2312"/>
          <w:szCs w:val="28"/>
          <w:lang w:val="en-US" w:eastAsia="zh-CN"/>
        </w:rPr>
        <w:t>罗志伟</w:t>
      </w:r>
    </w:p>
    <w:p w14:paraId="1567F490">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atLeast"/>
        <w:ind w:left="0" w:right="0" w:firstLine="0"/>
        <w:jc w:val="center"/>
        <w:textAlignment w:val="auto"/>
        <w:rPr>
          <w:rFonts w:hint="eastAsia" w:ascii="仿宋" w:hAnsi="仿宋" w:eastAsia="仿宋" w:cs="仿宋"/>
          <w:color w:val="000000"/>
          <w:sz w:val="28"/>
          <w:szCs w:val="28"/>
          <w:lang w:eastAsia="zh-CN"/>
        </w:rPr>
      </w:pPr>
    </w:p>
    <w:p w14:paraId="6850D41A">
      <w:pPr>
        <w:pStyle w:val="4"/>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val="0"/>
          <w:bCs/>
          <w:sz w:val="28"/>
          <w:szCs w:val="28"/>
        </w:rPr>
      </w:pPr>
      <w:r>
        <w:rPr>
          <w:rFonts w:hint="eastAsia" w:ascii="仿宋" w:hAnsi="仿宋" w:eastAsia="仿宋" w:cs="仿宋"/>
          <w:b/>
          <w:bCs w:val="0"/>
          <w:sz w:val="28"/>
          <w:szCs w:val="28"/>
          <w:lang w:val="en-US" w:eastAsia="zh-CN"/>
        </w:rPr>
        <w:t>摘要：</w:t>
      </w:r>
      <w:r>
        <w:rPr>
          <w:rFonts w:hint="eastAsia" w:ascii="仿宋" w:hAnsi="仿宋" w:eastAsia="仿宋" w:cs="仿宋"/>
          <w:b w:val="0"/>
          <w:bCs/>
          <w:sz w:val="28"/>
          <w:szCs w:val="28"/>
        </w:rPr>
        <w:t>在数字化浪潮的推动下，新闻采编领域正经历着前所未有的变革。人工智能技术的快速发展，为新闻行业的效率提升和内容创新提供了新的可能。特别是在深度学习技术的加持下，Deep Seek技术作为一种创新的解决方案，正在重新定义新闻采编的未来。本文将深入探讨Deep Seek技术在新闻采编中的应用背景、技术原理、创新点以及面临的挑战，并展望其未来发展趋势。</w:t>
      </w:r>
    </w:p>
    <w:p w14:paraId="5B77E3C7">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lang w:val="en-US" w:eastAsia="zh-CN"/>
        </w:rPr>
        <w:t>关键词：</w:t>
      </w:r>
      <w:r>
        <w:rPr>
          <w:rFonts w:hint="eastAsia" w:ascii="仿宋" w:hAnsi="仿宋" w:eastAsia="仿宋" w:cs="仿宋"/>
          <w:b/>
          <w:bCs w:val="0"/>
          <w:sz w:val="28"/>
          <w:szCs w:val="28"/>
        </w:rPr>
        <w:t>人工智能</w:t>
      </w:r>
      <w:r>
        <w:rPr>
          <w:rFonts w:hint="eastAsia" w:ascii="仿宋" w:hAnsi="仿宋" w:eastAsia="仿宋" w:cs="仿宋"/>
          <w:b/>
          <w:bCs w:val="0"/>
          <w:sz w:val="28"/>
          <w:szCs w:val="28"/>
          <w:lang w:eastAsia="zh-CN"/>
        </w:rPr>
        <w:t>；</w:t>
      </w:r>
      <w:r>
        <w:rPr>
          <w:rFonts w:hint="eastAsia" w:ascii="仿宋" w:hAnsi="仿宋" w:eastAsia="仿宋" w:cs="仿宋"/>
          <w:b/>
          <w:bCs w:val="0"/>
          <w:sz w:val="28"/>
          <w:szCs w:val="28"/>
        </w:rPr>
        <w:t>新闻采编</w:t>
      </w:r>
      <w:r>
        <w:rPr>
          <w:rFonts w:hint="eastAsia" w:ascii="仿宋" w:hAnsi="仿宋" w:eastAsia="仿宋" w:cs="仿宋"/>
          <w:b/>
          <w:bCs w:val="0"/>
          <w:sz w:val="28"/>
          <w:szCs w:val="28"/>
          <w:lang w:eastAsia="zh-CN"/>
        </w:rPr>
        <w:t>；</w:t>
      </w:r>
      <w:r>
        <w:rPr>
          <w:rFonts w:hint="eastAsia" w:ascii="仿宋" w:hAnsi="仿宋" w:eastAsia="仿宋" w:cs="仿宋"/>
          <w:b/>
          <w:bCs w:val="0"/>
          <w:sz w:val="28"/>
          <w:szCs w:val="28"/>
        </w:rPr>
        <w:t>Deep Seek技术</w:t>
      </w:r>
      <w:r>
        <w:rPr>
          <w:rFonts w:hint="eastAsia" w:ascii="仿宋" w:hAnsi="仿宋" w:eastAsia="仿宋" w:cs="仿宋"/>
          <w:b/>
          <w:bCs w:val="0"/>
          <w:sz w:val="28"/>
          <w:szCs w:val="28"/>
          <w:lang w:eastAsia="zh-CN"/>
        </w:rPr>
        <w:t>；</w:t>
      </w:r>
      <w:r>
        <w:rPr>
          <w:rFonts w:hint="eastAsia" w:ascii="仿宋" w:hAnsi="仿宋" w:eastAsia="仿宋" w:cs="仿宋"/>
          <w:b/>
          <w:bCs w:val="0"/>
          <w:sz w:val="28"/>
          <w:szCs w:val="28"/>
        </w:rPr>
        <w:t>创新与挑战</w:t>
      </w:r>
    </w:p>
    <w:p w14:paraId="77D199EF">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lang w:val="en-US" w:eastAsia="zh-CN"/>
        </w:rPr>
      </w:pPr>
      <w:r>
        <w:rPr>
          <w:rFonts w:hint="eastAsia" w:ascii="仿宋" w:hAnsi="仿宋" w:eastAsia="仿宋" w:cs="仿宋"/>
          <w:b/>
          <w:bCs w:val="0"/>
          <w:sz w:val="28"/>
          <w:szCs w:val="28"/>
          <w:lang w:val="en-US" w:eastAsia="zh-CN"/>
        </w:rPr>
        <w:t>引言</w:t>
      </w:r>
    </w:p>
    <w:p w14:paraId="305DD2AB">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在信息爆炸的时代，新闻采编工作面临着前所未有的挑战。传统的新闻采编方式已经无法满足日益增长的信息需求，而人工智能技术的兴起为新闻采编带来了新的机遇。Deep Seek技术作为一种基于深度学习的文本挖掘和搜索技术，以其独特的优势在新闻采编领域崭露头角。</w:t>
      </w:r>
    </w:p>
    <w:p w14:paraId="50FBB232">
      <w:pPr>
        <w:pStyle w:val="2"/>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一、人工智能在新闻采编中的应用背景</w:t>
      </w:r>
    </w:p>
    <w:p w14:paraId="6DACABBF">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人工智能技术近年来在新闻采编领域的应用日益广泛，正在深刻改变新闻生产的传统模式。从新闻信息的采集、处理到传播，人工智能技术贯穿了整个新闻生产流程。在信息采集阶段，AI技术能够通过大数据分析和机器学习算法快速识别新闻热点，预测舆论走向，帮助编辑精准定位报道方向。在新闻撰写环节，自然语言处理技术使得自动化写作成为可能，不仅提高了内容生产的效率，还能够根据不同受众的需求生成个性化的新闻报道。在内容分发方面，AI算法推荐系统能够根据用户的阅读习惯和兴趣，精准推送新闻内容，提升了用户体验和传播效果。</w:t>
      </w:r>
    </w:p>
    <w:p w14:paraId="5E159D03">
      <w:pPr>
        <w:pStyle w:val="2"/>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二、Deep Seek技术的原理与机制</w:t>
      </w:r>
    </w:p>
    <w:p w14:paraId="186E75DC">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2.1 Deep Seek技术的基本原理</w:t>
      </w:r>
    </w:p>
    <w:p w14:paraId="604207F6">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Seek技术的核心在于其创新的计算架构、高效的工程化能力和对垂直场景的深度理解。在自然语言处理（NLP）领域，Deep Seek通过其多模态预训练模型DeepSeek-R1实现了零样本迁移能力，即在未标注数据的垂直领域中，模型性能损失率低于5%。这种技术突破使得Deep Seek在金融、法律等特定领域中的应用更为广泛，例如某银行采用Deep Seek的NLP引擎后，客服机器人对用户意图的识别准确率从82%提升至96%，且能够自动生成合规的金融建议文档，显著减少了人工审核成本。</w:t>
      </w:r>
    </w:p>
    <w:p w14:paraId="42E6382E">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2.2 Deep Seek技术的工作流程</w:t>
      </w:r>
    </w:p>
    <w:p w14:paraId="79336C2C">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采编中的工作流程可以分为数据采集与预处理、模型处理与分析、结果生成与反馈优化三个主要环节。首先，在数据采集与预处理阶段，系统通过多模态数据接口获取新闻相关的文本、图像、视频等多种形式的数据。这些数据经过清洗和标注后，被输入到DeepSeek-R1多模态预训练模型中进行处理。模型利用其零样本迁移能力，能够快速适应新闻采编的特定场景，无需大量标注数据即可实现高效的语义理解和内容分析。</w:t>
      </w:r>
    </w:p>
    <w:p w14:paraId="1F8A341F">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在模型处理与分析环节，DeepSeek-R1通过意图识别、情感分析和知识图谱联动的三层架构，对新闻内容进行深度解析。例如，系统能够自动识别新闻中的关键事件、人物和实体，并通过情感分析判断舆论倾向。同时，模型结合知识图谱，将新闻内容与外部知识库进行关联，生成更加丰富和准确的新闻摘要。在计算机视觉领域，Deep Seek通过语义-几何联合建模技术，对新闻图像和视频进行精准识别和分析，提取关键信息并生成结构化数据。</w:t>
      </w:r>
    </w:p>
    <w:p w14:paraId="76DB91DE">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在结果生成与反馈优化阶段，系统将处理后的信息转化为可读性强的新闻文本或直观的视觉内容，并通过智能问答系统与用户进行互动。新闻采编人员可以根据生成的结果进一步修改和优化，同时系统会根据用户的反馈和实际应用效果，对模型参数进行动态调整，持续提升技术性能和应用效果。这一完整的工作流程不仅显著提高了新闻采编的效率和质量，也为新闻行业的智能化转型提供了强有力的技术支持。</w:t>
      </w:r>
    </w:p>
    <w:p w14:paraId="3FAF7A22">
      <w:pPr>
        <w:pStyle w:val="2"/>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三、Deep Seek技术的创新点</w:t>
      </w:r>
    </w:p>
    <w:p w14:paraId="328416F3">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3.1 技术层面的创新</w:t>
      </w:r>
    </w:p>
    <w:p w14:paraId="7B99878D">
      <w:pPr>
        <w:pStyle w:val="3"/>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自然语言处理和计算机视觉领域的创新，主要体现在其多模态预训练模型DeepSeek-R1上，该模型融合文本、图像、语音等多数据形式，实现跨模态信息的深度理解和协同处理，适应新闻采编复杂场景。其零样本迁移能力允许模型在未标注数据中保持高性能，降低应用门槛，提升新闻生产效率和灵活性。模型架构设计采用分层架构，包括意图识别、情感分析和知识图谱联动，提高了理解能力和推理精度，实现了从被动响应到主动服务的转变。</w:t>
      </w:r>
    </w:p>
    <w:p w14:paraId="285046A6">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3.2 应用层面的创新</w:t>
      </w:r>
    </w:p>
    <w:p w14:paraId="5FA4B42A">
      <w:pPr>
        <w:pStyle w:val="3"/>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采编领域的应用创新显著提升了新闻生产的多维度和智能化水平。通过多模态预训练模型DeepSeek-R1，系统能够高效处理文本、图像和视频，快速生成结构化新闻摘要，并在重大事件报道中提供全景式内容。零样本迁移能力使模型能快速适应不同新闻领域，提高生产效率和响应速度。自然语言处理技术的突破，如意图识别和知识图谱联动，助力生成高质量的新闻内容，提供个性化互动体验。语义理解和用户画像技术实现精准内容分发，提升用户体验和内容传播效果。</w:t>
      </w:r>
    </w:p>
    <w:p w14:paraId="525A3828">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3.3 行业层面的创新</w:t>
      </w:r>
    </w:p>
    <w:p w14:paraId="5F719280">
      <w:pPr>
        <w:pStyle w:val="2"/>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的行业层面创新深刻改变了新闻行业的运作和发展，它不仅重构了新闻采编流程，提高了效率和精准度，还丰富了新闻内容的呈现方式，推动了数据化转型和个性化分发。这些创新不仅增强了新闻机构的市场竞争力，还促进了跨界融合，但同时也引发了数据隐私、伦理和资源分配等挑战。新闻行业需共同应对这些挑战，通过技术创新和社会治理，实现技术发展与行业公平性的平衡，以促进新闻行业的可持续和负责任发展。</w:t>
      </w:r>
    </w:p>
    <w:p w14:paraId="0B6B8EB3">
      <w:pPr>
        <w:pStyle w:val="2"/>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四、Deep Seek技术的挑战与问题</w:t>
      </w:r>
    </w:p>
    <w:p w14:paraId="24AB9E47">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4.1 技术层面的挑战</w:t>
      </w:r>
    </w:p>
    <w:p w14:paraId="21009C58">
      <w:pPr>
        <w:pStyle w:val="3"/>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采编领域的应用面临多方面的技术挑战，包括多模态数据融合的难题、自然语言处理模型在复杂中文语境下的性能提升限制、计算机视觉在复杂场景识别中的局限性、计算资源和模型效率的平衡、以及特定领域的适应性等问题。这些挑战需要通过不断的技术创新和优化来克服，以促进Deep Seek技术在新闻采编领域的广泛应用和深入发展。</w:t>
      </w:r>
    </w:p>
    <w:p w14:paraId="635BA55C">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4.2 伦理层面的挑战</w:t>
      </w:r>
    </w:p>
    <w:p w14:paraId="5886D0C6">
      <w:pPr>
        <w:pStyle w:val="3"/>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采编中的应用虽提升了效率和内容质量，但同时也引发了数据隐私保护、算法偏见、内容真实性、用户画像与个性化服务以及技术失控等多重伦理挑战。这些挑战不仅要求技术本身的改进，也考验着新闻行业的伦理规范和社会责任。为应对这些挑战，必须结合技术手段和伦理规范，确保AI技术在新闻采编中的应用既符合伦理标准，又能保持高效和安全，从而实现技术创新与社会责任的和谐共生。</w:t>
      </w:r>
    </w:p>
    <w:p w14:paraId="701FFEF7">
      <w:pPr>
        <w:pStyle w:val="3"/>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rPr>
        <w:t>4.3 行业适应性问题</w:t>
      </w:r>
    </w:p>
    <w:p w14:paraId="1B3A0CF1">
      <w:pPr>
        <w:pStyle w:val="2"/>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行业的应用面临多方面的适应性挑战，包括技术复杂性与人员能力的不匹配、采编流程的重构与资源投入、技术普及的资源分配不均、伦理与社会责任的冲突，以及技术与新闻内容质量的平衡问题。这些问题不仅制约了技术的广泛应用，也对行业的可持续发展构成了挑战，因此，需要通过技术创新、人才培养、资源优化和伦理规范建设，综合解决这些适应性难题，以促进Deep Seek技术在新闻行业的健康和可持续应用。</w:t>
      </w:r>
    </w:p>
    <w:p w14:paraId="1C29E043">
      <w:pPr>
        <w:pStyle w:val="2"/>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val="0"/>
          <w:sz w:val="28"/>
          <w:szCs w:val="28"/>
        </w:rPr>
      </w:pPr>
      <w:r>
        <w:rPr>
          <w:rFonts w:hint="eastAsia" w:ascii="仿宋" w:hAnsi="仿宋" w:eastAsia="仿宋" w:cs="仿宋"/>
          <w:b/>
          <w:bCs w:val="0"/>
          <w:sz w:val="28"/>
          <w:szCs w:val="28"/>
        </w:rPr>
        <w:t>五、Deep Seek技术的未来发展趋势</w:t>
      </w:r>
    </w:p>
    <w:p w14:paraId="51921A8F">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未来的发展中，将进一步优化其算法和模型，以应对新闻采编领域的多样化需求。首先，算法层面的突破将主要集中在多模态预训练模型的优化上。DeepSeek-R1作为核心技术，将通过引入更高效的参数压缩和知识蒸馏技术，提升模型的参数效率，降低计算资源消耗，同时保持其卓越的零样本迁移能力。此外，模型的训练方法将更加注重数据的多样性和平衡性，以解决语言歧义性和语义理解不深入的问题，特别是在复杂中文语境下的表现将得到显著提升。</w:t>
      </w:r>
    </w:p>
    <w:p w14:paraId="204C86C3">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在模型架构设计方面，Deep Seek技术将探索更加灵活的分层架构，进一步提升意图识别、情感分析和知识图谱联动的协同能力。特别是在新闻采编中，模型将更加注重对新闻事件背景、上下文关联以及多模态信息融合的深度理解，从而生成更加精准和个性化的新闻内容。与此同时，Deep Seek在计算机视觉领域的技术也将持续突破，通过引入更先进的语义-几何联合建模方法，提升图像和视频内容的识别精度和分析能力，为新闻采编提供更加智能化的视觉处理工具。</w:t>
      </w:r>
    </w:p>
    <w:p w14:paraId="06D93213">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技术发展的另一个重要方向是多模态数据的深度融合与处理。Deep Seek技术将通过引入跨模态注意力机制和多任务学习框架，进一步提升模型在文本、图像、语音等多模态数据协同处理中的表现，实现更加自然和流畅的多模态内容生成。此外，模型的计算效率和资源利用率也将成为未来优化的重点，通过算法创新和硬件加速技术的结合，Deep Seek技术将在保证性能的同时，显著降低计算成本，提升技术的可扩展性和实用性。</w:t>
      </w:r>
    </w:p>
    <w:p w14:paraId="38AF16DC">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将更加注重对新闻采编特定场景的深度适配，通过引入领域知识增强和动态自适应机制，进一步提升模型在特定领域的应用效果。例如，在处理突发新闻事件时，模型将能够快速理解事件背景和多变情境，生成更加全面和准确的新闻内容。同时，技术还将更加注重伦理与安全规范的融入，通过引入可解释性AI和公平性约束，确保技术应用的透明性和可信度。</w:t>
      </w:r>
    </w:p>
    <w:p w14:paraId="57A4D79F">
      <w:pPr>
        <w:pStyle w:val="4"/>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rPr>
      </w:pPr>
      <w:r>
        <w:rPr>
          <w:rFonts w:hint="eastAsia" w:ascii="仿宋" w:hAnsi="仿宋" w:eastAsia="仿宋" w:cs="仿宋"/>
          <w:b/>
          <w:bCs/>
          <w:sz w:val="28"/>
          <w:szCs w:val="28"/>
          <w:lang w:val="en-US" w:eastAsia="zh-CN"/>
        </w:rPr>
        <w:t>六、</w:t>
      </w:r>
      <w:r>
        <w:rPr>
          <w:rFonts w:hint="eastAsia" w:ascii="仿宋" w:hAnsi="仿宋" w:eastAsia="仿宋" w:cs="仿宋"/>
          <w:b/>
          <w:bCs/>
          <w:sz w:val="28"/>
          <w:szCs w:val="28"/>
        </w:rPr>
        <w:t xml:space="preserve"> Deep Seek技术在突发自然灾害报道中的应用案例</w:t>
      </w:r>
    </w:p>
    <w:p w14:paraId="406A1642">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在一场强烈地震</w:t>
      </w:r>
      <w:r>
        <w:rPr>
          <w:rFonts w:hint="eastAsia" w:ascii="仿宋" w:hAnsi="仿宋" w:eastAsia="仿宋" w:cs="仿宋"/>
          <w:b w:val="0"/>
          <w:sz w:val="28"/>
          <w:szCs w:val="28"/>
          <w:lang w:val="en-US" w:eastAsia="zh-CN"/>
        </w:rPr>
        <w:t>中</w:t>
      </w:r>
      <w:r>
        <w:rPr>
          <w:rFonts w:hint="eastAsia" w:ascii="仿宋" w:hAnsi="仿宋" w:eastAsia="仿宋" w:cs="仿宋"/>
          <w:b w:val="0"/>
          <w:sz w:val="28"/>
          <w:szCs w:val="28"/>
        </w:rPr>
        <w:t>，当地造成了严重的破坏</w:t>
      </w:r>
      <w:r>
        <w:rPr>
          <w:rFonts w:hint="eastAsia" w:ascii="仿宋" w:hAnsi="仿宋" w:eastAsia="仿宋" w:cs="仿宋"/>
          <w:b w:val="0"/>
          <w:sz w:val="28"/>
          <w:szCs w:val="28"/>
          <w:lang w:eastAsia="zh-CN"/>
        </w:rPr>
        <w:t>，</w:t>
      </w:r>
      <w:r>
        <w:rPr>
          <w:rFonts w:hint="eastAsia" w:ascii="仿宋" w:hAnsi="仿宋" w:eastAsia="仿宋" w:cs="仿宋"/>
          <w:b w:val="0"/>
          <w:sz w:val="28"/>
          <w:szCs w:val="28"/>
        </w:rPr>
        <w:t>在这场突发的重大灾难事件中，Deep Seek技术在新闻采编工作中展现出强大的能力。</w:t>
      </w:r>
    </w:p>
    <w:p w14:paraId="3F19E5CF">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在数据采集与预处理阶段，Deep Seek技术的多模态数据接口迅速从各种渠道收集信息。它抓取了来自地震监测机构发布的地震参数数据，社交媒体上受灾群众和救援人员发布的现场照片、视频以及文字描述，政府和救援组织发布的官方通报等多源数据。通过清洗和标注，去除重复、虚假信息，将有价值的数据输入到DeepSeek - R1多模态预训练模型中。</w:t>
      </w:r>
    </w:p>
    <w:p w14:paraId="566F57FC">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进入模型处理与分析环节，DeepSeek - R1模型利用其零样本迁移能力，快速适应地震报道这一特定场景。通过意图识别，精准提取关键信息，如地震震级、受灾范围、人员伤亡情况等；运用情感分析，判断出社交媒体上民众的恐慌、求助以及对救援工作的期待等情绪倾向；借助知识图谱联动，关联该地区的地理信息、人口密度、历史地震数据等外部知识，对新闻内容进行深度解析。在计算机视觉领域，通过语义 - 几何联合建模技术，对现场照片和视频进行分析，确定受灾区域的建筑损坏程度、道路通行状况等，生成结构化数据。</w:t>
      </w:r>
    </w:p>
    <w:p w14:paraId="1169CC65">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结果生成与反馈优化阶段，系统将处理后的信息转化为丰富的新闻内容。自动生成详细的新闻稿件，不仅涵盖地震的基本信息、救援进展，还结合情感分析结果，融入人文关怀，使报道更具感染力。利用计算机视觉分析结果，制作直观的灾情地图和受损建筑对比图，以可视化形式呈现给读者。通过智能问答系统，实时解答读者的疑问，如“哪些地区急需物资援助”“如何参与志愿者行动”等。新闻发布后，根据读者在网站、APP上的阅读时长、评论、点赞等反馈数据，以及实际传播效果，系统对模型参数进行动态调整。若发现读者对某一救援队伍的行动特别关注，后续报道就会增加这方面的内容，提升报道的针对性和吸引力。</w:t>
      </w:r>
    </w:p>
    <w:p w14:paraId="5CDE21C3">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 xml:space="preserve">在这次地震报道中，Deep Seek技术帮助新闻机构在短时间内发布了大量准确、全面且个性化的新闻内容。相比以往传统的采编方式，大大缩短了新闻制作周期，提升了新闻质量，满足了公众对灾害信息的迫切需求，同时也提高了新闻机构在突发重大事件报道中的竞争力，充分展示了Deep Seek技术在新闻采编领域的巨大潜力和应用价值。 </w:t>
      </w:r>
    </w:p>
    <w:p w14:paraId="4B39BAF1">
      <w:pPr>
        <w:pStyle w:val="4"/>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结束语</w:t>
      </w:r>
    </w:p>
    <w:p w14:paraId="51FF20B0">
      <w:pPr>
        <w:pStyle w:val="4"/>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rPr>
      </w:pPr>
      <w:r>
        <w:rPr>
          <w:rFonts w:hint="eastAsia" w:ascii="仿宋" w:hAnsi="仿宋" w:eastAsia="仿宋" w:cs="仿宋"/>
          <w:b w:val="0"/>
          <w:sz w:val="28"/>
          <w:szCs w:val="28"/>
        </w:rPr>
        <w:t>Deep Seek技术在新闻采编领域的应用，不仅体现了人工智能技术的创新价值，也为新闻行业的未来发展提供了新的思路。尽管在实际应用中仍面临诸多挑战，但随着技术的不断进步和应用场景的拓展，Deep Seek技术有望在新闻采编领域发挥更大的作用。未来，随着技术的进一步成熟和行业需求的不断增长，人工智能赋能新闻采编的前景将更加广阔，为新闻行业的智能化转型注入新的活力。</w:t>
      </w:r>
    </w:p>
    <w:p w14:paraId="288B8608">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left"/>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参考文献</w:t>
      </w:r>
    </w:p>
    <w:p w14:paraId="56C07DA8">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[1]赵俊杰. 人工智能技术赋能新闻采编工作探究[J]. 新闻文化建设, 2024, (24): 87-89.</w:t>
      </w:r>
    </w:p>
    <w:p w14:paraId="1D08B18E">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[2]蔡海龙. 新媒体技术赋能新闻生产云采编[J]. 新闻文化建设, 2024, (24): 171-173.</w:t>
      </w:r>
    </w:p>
    <w:p w14:paraId="01A87B3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[3]田瑞雪. 技术驱动下新闻采编的创新发展[J]. 新闻文化建设, 2024, (23): 64-66.</w:t>
      </w:r>
    </w:p>
    <w:p w14:paraId="004AA21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[4]柯小瑛. AI赋能新闻采编工作的守正创新[J]. 记者观察, 2024, (33): 104-106.</w:t>
      </w:r>
    </w:p>
    <w:p w14:paraId="5EF986AE">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仿宋" w:hAnsi="仿宋" w:eastAsia="仿宋" w:cs="仿宋"/>
          <w:b w:val="0"/>
          <w:sz w:val="28"/>
          <w:szCs w:val="28"/>
          <w:lang w:val="en-US" w:eastAsia="zh-CN"/>
        </w:rPr>
      </w:pPr>
      <w:r>
        <w:rPr>
          <w:rFonts w:hint="eastAsia" w:ascii="仿宋" w:hAnsi="仿宋" w:eastAsia="仿宋" w:cs="仿宋"/>
          <w:b w:val="0"/>
          <w:sz w:val="28"/>
          <w:szCs w:val="28"/>
          <w:lang w:val="en-US" w:eastAsia="zh-CN"/>
        </w:rPr>
        <w:t>[5]吕艳. 数智赋能下的高职新闻采编与制作专业教学方法改革探索[J]. 中国多媒体与网络教学学报(中旬刊), 2024, (08): 25-28.</w:t>
      </w:r>
    </w:p>
    <w:p w14:paraId="07686D14">
      <w:pPr>
        <w:rPr>
          <w:rFonts w:hint="eastAsia" w:ascii="Nimbus Roman No9 L" w:hAnsi="Nimbus Roman No9 L" w:eastAsia="仿宋_GB2312" w:cs="Nimbus Roman No9 L"/>
          <w:szCs w:val="32"/>
          <w:lang w:eastAsia="zh-CN"/>
        </w:rPr>
      </w:pPr>
    </w:p>
    <w:sectPr>
      <w:footerReference r:id="rId3" w:type="default"/>
      <w:pgSz w:w="11906" w:h="16838"/>
      <w:pgMar w:top="2098" w:right="1474" w:bottom="1984" w:left="1587" w:header="851" w:footer="992" w:gutter="0"/>
      <w:pgNumType w:fmt="decimal"/>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Nimbus Roman No9 L">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小标宋_GBK">
    <w:altName w:val="微软雅黑"/>
    <w:panose1 w:val="02000000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CESI仿宋-GB2312">
    <w:altName w:val="仿宋"/>
    <w:panose1 w:val="00000000000000000000"/>
    <w:charset w:val="00"/>
    <w:family w:val="auto"/>
    <w:pitch w:val="default"/>
    <w:sig w:usb0="00000000" w:usb1="00000000" w:usb2="00000010" w:usb3="00000000" w:csb0="0004000F" w:csb1="00000000"/>
  </w:font>
  <w:font w:name="Andalus">
    <w:panose1 w:val="02020603050405020304"/>
    <w:charset w:val="00"/>
    <w:family w:val="auto"/>
    <w:pitch w:val="default"/>
    <w:sig w:usb0="00002003" w:usb1="80000000" w:usb2="00000008" w:usb3="00000000" w:csb0="00000041" w:csb1="200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2E6C1F">
    <w:pPr>
      <w:pStyle w:val="5"/>
    </w:pPr>
  </w:p>
  <w:p w14:paraId="2DBBFFA2">
    <w:pPr>
      <w:pStyle w:val="5"/>
      <w:rPr>
        <w:rFonts w:hint="default"/>
        <w:lang w:val="en-US"/>
      </w:rPr>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3DCC28">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2E3DCC28">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HorizontalSpacing w:val="320"/>
  <w:drawingGridVerticalSpacing w:val="156"/>
  <w:displayHorizontalDrawingGridEvery w:val="1"/>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E9B5EFF"/>
    <w:rsid w:val="04900690"/>
    <w:rsid w:val="09F9539C"/>
    <w:rsid w:val="0B92379D"/>
    <w:rsid w:val="1C94203F"/>
    <w:rsid w:val="1D464C84"/>
    <w:rsid w:val="282A43D6"/>
    <w:rsid w:val="28642EB4"/>
    <w:rsid w:val="294E3480"/>
    <w:rsid w:val="2A5F0A96"/>
    <w:rsid w:val="32C97752"/>
    <w:rsid w:val="3E9B5EFF"/>
    <w:rsid w:val="468F3BE1"/>
    <w:rsid w:val="48A50654"/>
    <w:rsid w:val="49D72217"/>
    <w:rsid w:val="4E1E499E"/>
    <w:rsid w:val="54CF17D4"/>
    <w:rsid w:val="5973255E"/>
    <w:rsid w:val="663A7A43"/>
    <w:rsid w:val="67341180"/>
    <w:rsid w:val="67FBC4BA"/>
    <w:rsid w:val="6B5E41D4"/>
    <w:rsid w:val="6BD41279"/>
    <w:rsid w:val="73FB3F54"/>
    <w:rsid w:val="CFFEA6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32"/>
      <w:lang w:val="en-US" w:eastAsia="zh-CN" w:bidi="ar-SA"/>
    </w:rPr>
  </w:style>
  <w:style w:type="paragraph" w:styleId="2">
    <w:name w:val="heading 1"/>
    <w:basedOn w:val="1"/>
    <w:next w:val="1"/>
    <w:qFormat/>
    <w:uiPriority w:val="9"/>
    <w:pPr>
      <w:spacing w:before="50" w:beforeLines="50" w:after="50" w:afterLines="50"/>
      <w:outlineLvl w:val="0"/>
    </w:pPr>
    <w:rPr>
      <w:rFonts w:ascii="Cambria" w:hAnsi="Cambria" w:eastAsia="黑体"/>
      <w:b/>
      <w:bCs/>
      <w:szCs w:val="28"/>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4">
    <w:name w:val="Body Text"/>
    <w:basedOn w:val="1"/>
    <w:qFormat/>
    <w:uiPriority w:val="0"/>
    <w:pPr>
      <w:spacing w:after="12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0">
    <w:name w:val="page number"/>
    <w:basedOn w:val="9"/>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5005</Words>
  <Characters>5471</Characters>
  <Lines>0</Lines>
  <Paragraphs>0</Paragraphs>
  <TotalTime>2</TotalTime>
  <ScaleCrop>false</ScaleCrop>
  <LinksUpToDate>false</LinksUpToDate>
  <CharactersWithSpaces>5575</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2026-01-12T16:42:00Z</dcterms:created>
  <dc:creator>test</dc:creator>
  <cp:lastModifiedBy>CappuCcino</cp:lastModifiedBy>
  <dcterms:modified xsi:type="dcterms:W3CDTF">2026-01-22T08:29:57Z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eyJoZGlkIjoiODE1NWMyZGZjMzZiNWY3MTNmOWMyYzA1YTZmYWJkZjQiLCJ1c2VySWQiOiI0OTM5MDk3MzMifQ==</vt:lpwstr>
  </property>
  <property fmtid="{D5CDD505-2E9C-101B-9397-08002B2CF9AE}" pid="4" name="ICV">
    <vt:lpwstr>04B9C9BC692541F1AA23640A2A08BD42_13</vt:lpwstr>
  </property>
</Properties>
</file>